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Приобретение лицензий на программное обеспечение средств криптографической защиты информации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- 15.01.10088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АО "Петербургская сбытовая компания"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Объект ОС: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 ViPNet Client является новым бессрочным НМА.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 ViPNet Prime является новым бессрочным НМА (для модуля NVS).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 ViPNet Prime является новым бессрочным НМА (для модуля РМ).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Для обеспечения криптографической защиты инфраструктуры и значимого документооборота в АО «Петербургская сбытовая компания» сертифицированного </w:t>
      </w:r>
      <w:r>
        <w:t xml:space="preserve">по требованиям Федеральной службы безопасности (ФСБ) средство криптографической защиты. 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Данная закупка – приобретение бессрочных лицензий и сертификатов технической поддержки.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Цель приобретения расширение криптозащищенной виртуальной сети для безопасного соединения и организации защищенного удаленного доступа к ресурсам центрального офиса, ЦОД и ОСЭ через Интернет.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t xml:space="preserve">Планируются к приобретению следующие лицензии:</w:t>
      </w:r>
      <w:r>
        <w:rPr>
          <w:color w:val="000000"/>
        </w:rPr>
      </w:r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ViPNet Client 4U for Android (КС1)-50шт.(Для мобильных устройств системы Мобильный контролер, в связи с расширением парка устройств (Сеть 12112));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 ViPNet Prime является новым бессрочным НМА (для модуля NVS)-50шт.(</w:t>
      </w:r>
      <w:r>
        <w:t xml:space="preserve">По количеству клиентов (сеть 12112));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ПО ViPNet Prime является новым бессрочным НМА (для модуля РМ).-50шт.(</w:t>
      </w:r>
      <w:r>
        <w:t xml:space="preserve">По количеству клиентов (сеть 12112)).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t xml:space="preserve">Также по операционной деятельности приобретаются сертификаты технической поддержки и установочные комплекты (компакт-диск с дистрибутивом ПО).</w:t>
      </w: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включён в стратегические документы компании, а также не связан с другими проектами.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- 1 квартал 2026 г.</w:t>
      </w:r>
      <w:r/>
    </w:p>
    <w:p>
      <w:pPr>
        <w:pStyle w:val="632"/>
        <w:spacing w:before="57"/>
      </w:pPr>
      <w:r>
        <w:t xml:space="preserve">Завершение работ - 1 квартал 2026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832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33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33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33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33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34"/>
            </w:pPr>
            <w:r/>
            <w:r>
              <w:t xml:space="preserve">292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34"/>
            </w:pPr>
            <w:r/>
            <w:r>
              <w:t xml:space="preserve">292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292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292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2.1.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3 642</w:t>
            </w:r>
            <w:r>
              <w:rPr>
                <w:b/>
                <w:bCs/>
              </w:rPr>
            </w:r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3 642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3 642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3 642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3 934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3 934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832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33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33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33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33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34"/>
            </w:pPr>
            <w:r/>
            <w:r>
              <w:t xml:space="preserve">357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34"/>
            </w:pPr>
            <w:r/>
            <w:r>
              <w:t xml:space="preserve">357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357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357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2.1.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35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4 370</w:t>
            </w:r>
            <w:r>
              <w:rPr>
                <w:b/>
                <w:bCs/>
              </w:rPr>
            </w:r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4 370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4 370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4 370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35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4 727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34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4 727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832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833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833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33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33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832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833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834">
    <w:name w:val="Таблица 1. Число"/>
    <w:basedOn w:val="833"/>
    <w:uiPriority w:val="1"/>
    <w:qFormat/>
    <w:pPr>
      <w:jc w:val="right"/>
    </w:pPr>
    <w:rPr/>
  </w:style>
  <w:style w:type="paragraph" w:styleId="835">
    <w:name w:val="Таблица 1. Строка"/>
    <w:basedOn w:val="833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2026-03-03T12:20:34Z</dcterms:modified>
</cp:coreProperties>
</file>